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01" w:rsidRPr="00406507" w:rsidRDefault="00454B04">
      <w:pPr>
        <w:rPr>
          <w:sz w:val="28"/>
          <w:szCs w:val="28"/>
        </w:rPr>
      </w:pPr>
      <w:bookmarkStart w:id="0" w:name="_GoBack"/>
      <w:bookmarkEnd w:id="0"/>
      <w:r w:rsidRPr="00406507">
        <w:rPr>
          <w:b/>
          <w:bCs/>
          <w:sz w:val="28"/>
          <w:szCs w:val="28"/>
        </w:rPr>
        <w:t>Meer mogelijkheden voor videoconferentie in het strafrecht</w:t>
      </w:r>
    </w:p>
    <w:p w:rsidR="00454B04" w:rsidRDefault="00454B04">
      <w:pPr>
        <w:rPr>
          <w:sz w:val="24"/>
          <w:szCs w:val="24"/>
        </w:rPr>
      </w:pPr>
    </w:p>
    <w:p w:rsidR="00454B04" w:rsidRPr="00406507" w:rsidRDefault="00454B04" w:rsidP="00406507">
      <w:pPr>
        <w:rPr>
          <w:b/>
          <w:bCs/>
          <w:sz w:val="20"/>
          <w:szCs w:val="20"/>
        </w:rPr>
      </w:pPr>
      <w:r w:rsidRPr="00406507">
        <w:rPr>
          <w:b/>
          <w:bCs/>
          <w:sz w:val="20"/>
          <w:szCs w:val="20"/>
        </w:rPr>
        <w:t>Aan: Raad voor de rechtspraak, Openbaar Ministerie, Nederlandse Ord</w:t>
      </w:r>
      <w:r w:rsidR="00406507">
        <w:rPr>
          <w:b/>
          <w:bCs/>
          <w:sz w:val="20"/>
          <w:szCs w:val="20"/>
        </w:rPr>
        <w:t>e van Advocaten, Gerechtstolken</w:t>
      </w:r>
      <w:r w:rsidR="00406507">
        <w:rPr>
          <w:b/>
          <w:bCs/>
          <w:sz w:val="20"/>
          <w:szCs w:val="20"/>
        </w:rPr>
        <w:br/>
      </w:r>
    </w:p>
    <w:p w:rsidR="00454B04" w:rsidRDefault="00454B04" w:rsidP="00454B04">
      <w:pPr>
        <w:rPr>
          <w:sz w:val="20"/>
          <w:szCs w:val="20"/>
        </w:rPr>
      </w:pPr>
      <w:r>
        <w:rPr>
          <w:sz w:val="20"/>
          <w:szCs w:val="20"/>
        </w:rPr>
        <w:t xml:space="preserve">In verband met de uitbraak van het COVID-19 virus heeft de Raad voor de rechtspraak besloten met ingang van 17 maart rechtbanken, gerechtshoven en bijzondere rechtscolleges te sluiten en urgente zaken zoveel mogelijk met toepassing van videoconferentie doorgang te laten vinden. </w:t>
      </w:r>
    </w:p>
    <w:p w:rsidR="001F38C2" w:rsidRDefault="00F56C84" w:rsidP="001F38C2">
      <w:pPr>
        <w:rPr>
          <w:sz w:val="20"/>
          <w:szCs w:val="20"/>
        </w:rPr>
      </w:pPr>
      <w:r>
        <w:rPr>
          <w:i/>
          <w:iCs/>
          <w:sz w:val="20"/>
          <w:szCs w:val="20"/>
        </w:rPr>
        <w:t>Wijziging artikel 2 Besluit videoconferentie</w:t>
      </w:r>
      <w:r>
        <w:rPr>
          <w:sz w:val="20"/>
          <w:szCs w:val="20"/>
        </w:rPr>
        <w:br/>
      </w:r>
      <w:r w:rsidR="00190EA9">
        <w:rPr>
          <w:sz w:val="20"/>
          <w:szCs w:val="20"/>
        </w:rPr>
        <w:t>Met het oo</w:t>
      </w:r>
      <w:r w:rsidR="001F38C2">
        <w:rPr>
          <w:sz w:val="20"/>
          <w:szCs w:val="20"/>
        </w:rPr>
        <w:t xml:space="preserve">g hierop treedt op zeer korte termijn een wijziging van artikel 2 van </w:t>
      </w:r>
      <w:r w:rsidR="00190EA9">
        <w:rPr>
          <w:sz w:val="20"/>
          <w:szCs w:val="20"/>
        </w:rPr>
        <w:t xml:space="preserve">het Besluit videoconferentie </w:t>
      </w:r>
      <w:r w:rsidR="001F38C2">
        <w:rPr>
          <w:sz w:val="20"/>
          <w:szCs w:val="20"/>
        </w:rPr>
        <w:t xml:space="preserve">in werking. Deze wijziging maakt het mogelijk dat videoconferentie ten aanzien van de verdachte kan worden toegepast in situaties waarin dat voorheen </w:t>
      </w:r>
      <w:r>
        <w:rPr>
          <w:sz w:val="20"/>
          <w:szCs w:val="20"/>
        </w:rPr>
        <w:t>op grond van het Besluit videoconferentie</w:t>
      </w:r>
      <w:r w:rsidR="001F38C2">
        <w:rPr>
          <w:sz w:val="20"/>
          <w:szCs w:val="20"/>
        </w:rPr>
        <w:t xml:space="preserve"> niet was toegestaan. </w:t>
      </w:r>
      <w:r>
        <w:rPr>
          <w:sz w:val="20"/>
          <w:szCs w:val="20"/>
        </w:rPr>
        <w:t xml:space="preserve">Hierdoor worden aldus enkele juridische belemmeringen weggenomen voor de toepassing van videoconferentie in het strafrecht. </w:t>
      </w:r>
      <w:r w:rsidR="001F38C2">
        <w:rPr>
          <w:sz w:val="20"/>
          <w:szCs w:val="20"/>
        </w:rPr>
        <w:t xml:space="preserve">Deze wijziging zou oorspronkelijk per 1 juli 2020 in werking treden, maar gelet op bovenstaande is de inwerkingtredingsdatum vervroegd. </w:t>
      </w:r>
    </w:p>
    <w:p w:rsidR="00190EA9" w:rsidRDefault="001F38C2" w:rsidP="001F38C2">
      <w:pPr>
        <w:rPr>
          <w:sz w:val="20"/>
          <w:szCs w:val="20"/>
        </w:rPr>
      </w:pPr>
      <w:r>
        <w:rPr>
          <w:sz w:val="20"/>
          <w:szCs w:val="20"/>
        </w:rPr>
        <w:t>Door deze wijziging kan videoconferentie nu tevens worden toegepast in</w:t>
      </w:r>
      <w:r w:rsidR="00190EA9">
        <w:rPr>
          <w:sz w:val="20"/>
          <w:szCs w:val="20"/>
        </w:rPr>
        <w:t>:</w:t>
      </w:r>
    </w:p>
    <w:p w:rsidR="00190EA9" w:rsidRDefault="00190EA9" w:rsidP="00190EA9">
      <w:pPr>
        <w:pStyle w:val="Lijstalinea"/>
        <w:numPr>
          <w:ilvl w:val="0"/>
          <w:numId w:val="2"/>
        </w:numPr>
        <w:rPr>
          <w:sz w:val="20"/>
          <w:szCs w:val="20"/>
        </w:rPr>
      </w:pPr>
      <w:r>
        <w:rPr>
          <w:sz w:val="20"/>
          <w:szCs w:val="20"/>
        </w:rPr>
        <w:t xml:space="preserve">Zaken waarin sprake is van </w:t>
      </w:r>
      <w:r w:rsidRPr="001F38C2">
        <w:rPr>
          <w:b/>
          <w:bCs/>
          <w:sz w:val="20"/>
          <w:szCs w:val="20"/>
        </w:rPr>
        <w:t>minderjarige verdachten of veroordeelden</w:t>
      </w:r>
      <w:r>
        <w:rPr>
          <w:sz w:val="20"/>
          <w:szCs w:val="20"/>
        </w:rPr>
        <w:t>;</w:t>
      </w:r>
    </w:p>
    <w:p w:rsidR="00190EA9" w:rsidRDefault="00190EA9" w:rsidP="00190EA9">
      <w:pPr>
        <w:pStyle w:val="Lijstalinea"/>
        <w:numPr>
          <w:ilvl w:val="0"/>
          <w:numId w:val="2"/>
        </w:numPr>
        <w:rPr>
          <w:sz w:val="20"/>
          <w:szCs w:val="20"/>
        </w:rPr>
      </w:pPr>
      <w:r>
        <w:rPr>
          <w:sz w:val="20"/>
          <w:szCs w:val="20"/>
        </w:rPr>
        <w:t xml:space="preserve">Zaken met verdachten ten aanzien van wie het vermoeden bestaat van een </w:t>
      </w:r>
      <w:r w:rsidRPr="001F38C2">
        <w:rPr>
          <w:b/>
          <w:bCs/>
          <w:sz w:val="20"/>
          <w:szCs w:val="20"/>
        </w:rPr>
        <w:t>ziekelijke stoornis of gebrekkige ontwikkeling van de geestvermogens</w:t>
      </w:r>
      <w:r>
        <w:rPr>
          <w:sz w:val="20"/>
          <w:szCs w:val="20"/>
        </w:rPr>
        <w:t>;</w:t>
      </w:r>
    </w:p>
    <w:p w:rsidR="00190EA9" w:rsidRDefault="00190EA9" w:rsidP="00190EA9">
      <w:pPr>
        <w:pStyle w:val="Lijstalinea"/>
        <w:numPr>
          <w:ilvl w:val="0"/>
          <w:numId w:val="2"/>
        </w:numPr>
        <w:rPr>
          <w:sz w:val="20"/>
          <w:szCs w:val="20"/>
        </w:rPr>
      </w:pPr>
      <w:r>
        <w:rPr>
          <w:sz w:val="20"/>
          <w:szCs w:val="20"/>
        </w:rPr>
        <w:t xml:space="preserve">Zaken </w:t>
      </w:r>
      <w:r w:rsidR="001F38C2">
        <w:rPr>
          <w:sz w:val="20"/>
          <w:szCs w:val="20"/>
        </w:rPr>
        <w:t>van personen die worden verdacht van een</w:t>
      </w:r>
      <w:r>
        <w:rPr>
          <w:sz w:val="20"/>
          <w:szCs w:val="20"/>
        </w:rPr>
        <w:t xml:space="preserve"> </w:t>
      </w:r>
      <w:r w:rsidRPr="001F38C2">
        <w:rPr>
          <w:b/>
          <w:bCs/>
          <w:sz w:val="20"/>
          <w:szCs w:val="20"/>
        </w:rPr>
        <w:t>zedenmisdrijf</w:t>
      </w:r>
      <w:r>
        <w:rPr>
          <w:sz w:val="20"/>
          <w:szCs w:val="20"/>
        </w:rPr>
        <w:t xml:space="preserve"> waarvoor voorlopige hechtenis is toegelaten;</w:t>
      </w:r>
    </w:p>
    <w:p w:rsidR="00190EA9" w:rsidRDefault="001F38C2" w:rsidP="00190EA9">
      <w:pPr>
        <w:pStyle w:val="Lijstalinea"/>
        <w:numPr>
          <w:ilvl w:val="0"/>
          <w:numId w:val="2"/>
        </w:numPr>
        <w:rPr>
          <w:sz w:val="20"/>
          <w:szCs w:val="20"/>
        </w:rPr>
      </w:pPr>
      <w:r>
        <w:rPr>
          <w:sz w:val="20"/>
          <w:szCs w:val="20"/>
        </w:rPr>
        <w:t xml:space="preserve">Zaken waarin </w:t>
      </w:r>
      <w:r w:rsidRPr="001F38C2">
        <w:rPr>
          <w:b/>
          <w:bCs/>
          <w:sz w:val="20"/>
          <w:szCs w:val="20"/>
        </w:rPr>
        <w:t>dodelijke slachtoffers</w:t>
      </w:r>
      <w:r>
        <w:rPr>
          <w:sz w:val="20"/>
          <w:szCs w:val="20"/>
        </w:rPr>
        <w:t xml:space="preserve"> zijn gevallen;</w:t>
      </w:r>
    </w:p>
    <w:p w:rsidR="001F38C2" w:rsidRDefault="001F38C2" w:rsidP="00190EA9">
      <w:pPr>
        <w:pStyle w:val="Lijstalinea"/>
        <w:numPr>
          <w:ilvl w:val="0"/>
          <w:numId w:val="2"/>
        </w:numPr>
        <w:rPr>
          <w:sz w:val="20"/>
          <w:szCs w:val="20"/>
        </w:rPr>
      </w:pPr>
      <w:r>
        <w:rPr>
          <w:sz w:val="20"/>
          <w:szCs w:val="20"/>
        </w:rPr>
        <w:t xml:space="preserve">Zaken waarin het slachtoffer ter zitting gebruik maakt van het </w:t>
      </w:r>
      <w:r w:rsidRPr="001F38C2">
        <w:rPr>
          <w:b/>
          <w:bCs/>
          <w:sz w:val="20"/>
          <w:szCs w:val="20"/>
        </w:rPr>
        <w:t>spreekrecht</w:t>
      </w:r>
      <w:r>
        <w:rPr>
          <w:sz w:val="20"/>
          <w:szCs w:val="20"/>
        </w:rPr>
        <w:t>.</w:t>
      </w:r>
    </w:p>
    <w:p w:rsidR="00F56C84" w:rsidRDefault="00F56C84" w:rsidP="0048239A">
      <w:pPr>
        <w:rPr>
          <w:sz w:val="20"/>
          <w:szCs w:val="20"/>
        </w:rPr>
      </w:pPr>
      <w:r>
        <w:rPr>
          <w:i/>
          <w:iCs/>
          <w:sz w:val="20"/>
          <w:szCs w:val="20"/>
        </w:rPr>
        <w:br/>
        <w:t>Afwijken instemmingsrecht verdachte voor toepassing videoconferentie</w:t>
      </w:r>
      <w:r w:rsidR="0048239A">
        <w:rPr>
          <w:sz w:val="20"/>
          <w:szCs w:val="20"/>
        </w:rPr>
        <w:br/>
        <w:t xml:space="preserve">Daarnaast regelt het Besluit </w:t>
      </w:r>
      <w:r>
        <w:rPr>
          <w:sz w:val="20"/>
          <w:szCs w:val="20"/>
        </w:rPr>
        <w:t xml:space="preserve">videoconferentie </w:t>
      </w:r>
      <w:r w:rsidR="0048239A">
        <w:rPr>
          <w:sz w:val="20"/>
          <w:szCs w:val="20"/>
        </w:rPr>
        <w:t xml:space="preserve">dat videoconferentie </w:t>
      </w:r>
      <w:r>
        <w:rPr>
          <w:sz w:val="20"/>
          <w:szCs w:val="20"/>
        </w:rPr>
        <w:t xml:space="preserve">alleen ten aanzien van de verdachte </w:t>
      </w:r>
      <w:r w:rsidR="0048239A">
        <w:rPr>
          <w:sz w:val="20"/>
          <w:szCs w:val="20"/>
        </w:rPr>
        <w:t>kan worden</w:t>
      </w:r>
      <w:r>
        <w:rPr>
          <w:sz w:val="20"/>
          <w:szCs w:val="20"/>
        </w:rPr>
        <w:t xml:space="preserve"> toegepast met instemming van die verdachte of diens raadsman indien (a) de verdachte wordt voorgeleid voor de rechter-commissaris in verband met  de inbewaringstelling en (b) indien de inhoudelijke behandeling van de strafzaak plaat</w:t>
      </w:r>
      <w:r w:rsidR="0048239A">
        <w:rPr>
          <w:sz w:val="20"/>
          <w:szCs w:val="20"/>
        </w:rPr>
        <w:t xml:space="preserve">svindt bij de meervoudige kamer (het huidige artikel 2, tweede lid, Besluit videoconferentie). </w:t>
      </w:r>
      <w:r>
        <w:rPr>
          <w:sz w:val="20"/>
          <w:szCs w:val="20"/>
        </w:rPr>
        <w:br/>
      </w:r>
      <w:r>
        <w:rPr>
          <w:sz w:val="20"/>
          <w:szCs w:val="20"/>
        </w:rPr>
        <w:br/>
        <w:t xml:space="preserve">In afwijking hiervan kan de enkelvoudige of meervoudige kamer echter zelfstandig besluiten dat ook bij niet-instemming videoconferentie wordt toegepast, indien dit noodzakelijk is in het bijzondere belang van de </w:t>
      </w:r>
      <w:r w:rsidR="0048239A">
        <w:rPr>
          <w:sz w:val="20"/>
          <w:szCs w:val="20"/>
        </w:rPr>
        <w:t xml:space="preserve">beveiliging van de </w:t>
      </w:r>
      <w:r>
        <w:rPr>
          <w:sz w:val="20"/>
          <w:szCs w:val="20"/>
        </w:rPr>
        <w:t>zitting (</w:t>
      </w:r>
      <w:r w:rsidR="0048239A">
        <w:rPr>
          <w:sz w:val="20"/>
          <w:szCs w:val="20"/>
        </w:rPr>
        <w:t xml:space="preserve">het huidige </w:t>
      </w:r>
      <w:r>
        <w:rPr>
          <w:sz w:val="20"/>
          <w:szCs w:val="20"/>
        </w:rPr>
        <w:t xml:space="preserve">artikel 2, vierde lid, Besluit videoconferentie). </w:t>
      </w:r>
      <w:r w:rsidR="0048239A">
        <w:rPr>
          <w:sz w:val="20"/>
          <w:szCs w:val="20"/>
        </w:rPr>
        <w:t xml:space="preserve">De wetsgeschiedenis laat ruimte om deze bevoegdheid eveneens met het oog op de beveiliging tegen gezondheidsrisico’s (zoals de dreiging van het COVID-19 virus) toe te passen. Aldus kan in voorkomende gevallen ook op grond hiervan videoconferentie worden toegepast. </w:t>
      </w:r>
    </w:p>
    <w:p w:rsidR="0048239A" w:rsidRDefault="0048239A" w:rsidP="0048239A">
      <w:pPr>
        <w:rPr>
          <w:sz w:val="20"/>
          <w:szCs w:val="20"/>
        </w:rPr>
      </w:pPr>
    </w:p>
    <w:p w:rsidR="0048239A" w:rsidRDefault="0048239A" w:rsidP="0048239A">
      <w:pPr>
        <w:rPr>
          <w:sz w:val="20"/>
          <w:szCs w:val="20"/>
        </w:rPr>
      </w:pPr>
      <w:r>
        <w:rPr>
          <w:b/>
          <w:bCs/>
          <w:sz w:val="20"/>
          <w:szCs w:val="20"/>
        </w:rPr>
        <w:t xml:space="preserve">Bijlage: </w:t>
      </w:r>
      <w:r>
        <w:rPr>
          <w:sz w:val="20"/>
          <w:szCs w:val="20"/>
        </w:rPr>
        <w:t>geconsolideerde tekst van het Besluit videoconferentie na inwerkingtreding van het wijzigingsbesluit</w:t>
      </w:r>
    </w:p>
    <w:p w:rsidR="001F38C2" w:rsidRPr="001F38C2" w:rsidRDefault="001F38C2" w:rsidP="001F38C2">
      <w:pPr>
        <w:rPr>
          <w:sz w:val="20"/>
          <w:szCs w:val="20"/>
        </w:rPr>
      </w:pPr>
    </w:p>
    <w:sectPr w:rsidR="001F38C2" w:rsidRPr="001F38C2"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7BBA"/>
    <w:multiLevelType w:val="hybridMultilevel"/>
    <w:tmpl w:val="B15CAEAA"/>
    <w:lvl w:ilvl="0" w:tplc="57DE6F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F79127D"/>
    <w:multiLevelType w:val="hybridMultilevel"/>
    <w:tmpl w:val="81144038"/>
    <w:lvl w:ilvl="0" w:tplc="F5CC36C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04"/>
    <w:rsid w:val="00190EA9"/>
    <w:rsid w:val="001E6A24"/>
    <w:rsid w:val="001F38C2"/>
    <w:rsid w:val="00406507"/>
    <w:rsid w:val="00454B04"/>
    <w:rsid w:val="0048239A"/>
    <w:rsid w:val="00743C39"/>
    <w:rsid w:val="00A665EC"/>
    <w:rsid w:val="00B06701"/>
    <w:rsid w:val="00F56C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0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0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BBA0377D</Template>
  <TotalTime>0</TotalTime>
  <Pages>1</Pages>
  <Words>427</Words>
  <Characters>2349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Arnhem LLM, T.G.J. van - BD/DWJZ/SSR</dc:creator>
  <cp:lastModifiedBy>Duijnhoven, van, Ton</cp:lastModifiedBy>
  <cp:revision>2</cp:revision>
  <dcterms:created xsi:type="dcterms:W3CDTF">2020-03-25T08:08:00Z</dcterms:created>
  <dcterms:modified xsi:type="dcterms:W3CDTF">2020-03-25T08:08:00Z</dcterms:modified>
</cp:coreProperties>
</file>